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B0" w:rsidRPr="009E1DE7" w:rsidRDefault="003117B0" w:rsidP="00F64B91">
      <w:pPr>
        <w:jc w:val="center"/>
        <w:rPr>
          <w:rFonts w:ascii="Impact" w:eastAsia="DFKai-SB" w:hAnsi="Impact"/>
          <w:b/>
          <w:sz w:val="28"/>
          <w:szCs w:val="28"/>
        </w:rPr>
      </w:pPr>
      <w:r w:rsidRPr="009E1DE7">
        <w:rPr>
          <w:rFonts w:ascii="Impact" w:eastAsia="DFKai-SB" w:hAnsi="Impact" w:cs="Arial"/>
          <w:noProof/>
          <w:color w:val="0070C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3D97" wp14:editId="01AE9CCE">
                <wp:simplePos x="0" y="0"/>
                <wp:positionH relativeFrom="column">
                  <wp:posOffset>2962275</wp:posOffset>
                </wp:positionH>
                <wp:positionV relativeFrom="paragraph">
                  <wp:posOffset>-605790</wp:posOffset>
                </wp:positionV>
                <wp:extent cx="2971800" cy="3143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DB" w:rsidRPr="00364820" w:rsidRDefault="004A07DB" w:rsidP="003117B0">
                            <w:pPr>
                              <w:rPr>
                                <w:i/>
                                <w:color w:val="0070C0"/>
                              </w:rPr>
                            </w:pPr>
                            <w:r w:rsidRPr="00364820">
                              <w:rPr>
                                <w:i/>
                                <w:color w:val="0070C0"/>
                              </w:rPr>
                              <w:t xml:space="preserve">Príloha č. </w:t>
                            </w:r>
                            <w:r>
                              <w:rPr>
                                <w:i/>
                                <w:color w:val="0070C0"/>
                              </w:rPr>
                              <w:t>2</w:t>
                            </w:r>
                            <w:r w:rsidRPr="00364820">
                              <w:rPr>
                                <w:i/>
                                <w:color w:val="0070C0"/>
                              </w:rPr>
                              <w:t xml:space="preserve"> k S-POH SL na 2016-2020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3D9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3.25pt;margin-top:-47.7pt;width:234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" fillcolor="white [3201]" strokeweight=".5pt">
                <v:textbox>
                  <w:txbxContent>
                    <w:p w:rsidR="004A07DB" w:rsidRPr="00364820" w:rsidRDefault="004A07DB" w:rsidP="003117B0">
                      <w:pPr>
                        <w:rPr>
                          <w:i/>
                          <w:color w:val="0070C0"/>
                        </w:rPr>
                      </w:pPr>
                      <w:r w:rsidRPr="00364820">
                        <w:rPr>
                          <w:i/>
                          <w:color w:val="0070C0"/>
                        </w:rPr>
                        <w:t xml:space="preserve">Príloha č. </w:t>
                      </w:r>
                      <w:r>
                        <w:rPr>
                          <w:i/>
                          <w:color w:val="0070C0"/>
                        </w:rPr>
                        <w:t>2</w:t>
                      </w:r>
                      <w:r w:rsidRPr="00364820">
                        <w:rPr>
                          <w:i/>
                          <w:color w:val="0070C0"/>
                        </w:rPr>
                        <w:t xml:space="preserve"> k S-POH SL na 2016-2020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 w:eastAsia="DFKai-SB" w:hAnsi="Impact" w:cs="Arial"/>
          <w:color w:val="0070C0"/>
          <w:sz w:val="28"/>
          <w:szCs w:val="28"/>
        </w:rPr>
        <w:t>Kódy činností a kódy nakladania s odpadmi</w:t>
      </w:r>
    </w:p>
    <w:p w:rsidR="003117B0" w:rsidRPr="009E1DE7" w:rsidRDefault="003117B0" w:rsidP="003117B0">
      <w:pPr>
        <w:rPr>
          <w:rFonts w:ascii="Arial" w:hAnsi="Arial" w:cs="Arial"/>
          <w:b/>
          <w:color w:val="FF0000"/>
          <w:sz w:val="20"/>
          <w:szCs w:val="20"/>
        </w:rPr>
      </w:pPr>
    </w:p>
    <w:p w:rsidR="00F64B91" w:rsidRPr="00C5191B" w:rsidRDefault="00F64B91" w:rsidP="003117B0">
      <w:pPr>
        <w:rPr>
          <w:rFonts w:ascii="Arial" w:hAnsi="Arial" w:cs="Arial"/>
          <w:b/>
          <w:sz w:val="20"/>
          <w:szCs w:val="20"/>
        </w:rPr>
      </w:pPr>
    </w:p>
    <w:tbl>
      <w:tblPr>
        <w:tblW w:w="9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381"/>
      </w:tblGrid>
      <w:tr w:rsidR="003117B0" w:rsidRPr="003117B0" w:rsidTr="00C5191B">
        <w:trPr>
          <w:trHeight w:val="260"/>
        </w:trPr>
        <w:tc>
          <w:tcPr>
            <w:tcW w:w="9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Kódy činnosti: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Tabuľka 4</w:t>
            </w: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bookmarkStart w:id="0" w:name="_GoBack"/>
        <w:bookmarkEnd w:id="0"/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Kód činnosti </w:t>
            </w:r>
          </w:p>
        </w:tc>
        <w:tc>
          <w:tcPr>
            <w:tcW w:w="8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P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Pôvodca odpadu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M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Držiteľ odpadu </w:t>
            </w:r>
            <w:r w:rsidRPr="003117B0">
              <w:rPr>
                <w:rFonts w:ascii="Arial" w:hAnsi="Arial" w:cs="Arial"/>
                <w:i/>
                <w:color w:val="0070C0"/>
                <w:sz w:val="20"/>
                <w:szCs w:val="20"/>
                <w:lang w:eastAsia="sk-SK"/>
              </w:rPr>
              <w:t>(použije sa iba vtedy, ak sa nedá použiť iný kód činnosti)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V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Zber odpadov vrátane mobilného zberu</w:t>
            </w:r>
            <w:r w:rsidRPr="003117B0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3117B0">
              <w:rPr>
                <w:rFonts w:ascii="Arial" w:hAnsi="Arial" w:cs="Arial"/>
                <w:i/>
                <w:color w:val="0070C0"/>
                <w:sz w:val="20"/>
                <w:szCs w:val="20"/>
                <w:lang w:eastAsia="sk-SK"/>
              </w:rPr>
              <w:t>(uvedie sa aj pre registráciu vydanú na zber odpadov)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Zhodnocovanie odpadov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Zneškodňovanie odpadov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O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Obchodník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Sprostredkovateľ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3117B0" w:rsidRPr="003117B0" w:rsidTr="00C5191B">
        <w:trPr>
          <w:trHeight w:val="260"/>
        </w:trPr>
        <w:tc>
          <w:tcPr>
            <w:tcW w:w="9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Kódy nakladania: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Tabuľka 5</w:t>
            </w: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3117B0" w:rsidRPr="003117B0" w:rsidTr="00C5191B">
        <w:trPr>
          <w:trHeight w:val="3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Kód </w:t>
            </w:r>
          </w:p>
        </w:tc>
        <w:tc>
          <w:tcPr>
            <w:tcW w:w="8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Iné nakladanie s odpadom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Z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Zhromažďovanie odpadov je dočasné uloženie odpadov pred ďalším nakladaním s ním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DO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Odovzdanie odpadu na využitie v domácnosti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PO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Príprava na opätovné použitie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Zber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TÚ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Využitie odpadu na úpravu terénu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OO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Prijatie/Odovzdanie obchodníkovi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OS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Prijatie/Odovzdanie sprostredkovateľovi 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SVZ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Dočasné uloženie výkopovej zeminy</w:t>
            </w:r>
          </w:p>
        </w:tc>
      </w:tr>
      <w:tr w:rsidR="003117B0" w:rsidRPr="003117B0" w:rsidTr="00C5191B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PS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Dočasné uloženie odpadu v prekládkovej stanici komunálneho odpadu</w:t>
            </w:r>
          </w:p>
        </w:tc>
      </w:tr>
    </w:tbl>
    <w:p w:rsidR="006702A8" w:rsidRPr="00C5191B" w:rsidRDefault="006702A8">
      <w:pPr>
        <w:rPr>
          <w:rFonts w:ascii="Arial" w:hAnsi="Arial" w:cs="Arial"/>
          <w:sz w:val="20"/>
          <w:szCs w:val="20"/>
        </w:rPr>
      </w:pP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405"/>
      </w:tblGrid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Tabuľka 6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Kód </w:t>
            </w:r>
          </w:p>
        </w:tc>
        <w:tc>
          <w:tcPr>
            <w:tcW w:w="8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Zhodnocovanie odpadov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R1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Využitie najmä ako palivo alebo na získavanie energie iným spôsobom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R2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Spätné získavanie alebo regenerácia rozpúšťadiel </w:t>
            </w:r>
          </w:p>
        </w:tc>
      </w:tr>
      <w:tr w:rsidR="003117B0" w:rsidRPr="003117B0" w:rsidTr="00C5191B">
        <w:trPr>
          <w:trHeight w:val="49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R3 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Recyklácia alebo spätné získavanie organických látok, ktoré sa nepoužívajú ako rozpúšťadlá (vrátane kompostovania a iných biologických transformačných procesov) 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C5191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(Patrí sem aj splyňovanie a </w:t>
            </w:r>
            <w:proofErr w:type="spellStart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pyrolýza</w:t>
            </w:r>
            <w:proofErr w:type="spellEnd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 xml:space="preserve"> využívajúce zložky ako chemické látky.)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R4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Recyklácia alebo spätné získavanie kovov a kovových zlúčenín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R5 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Recyklácia alebo spätné získavanie iných anorganických materiálov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C5191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 xml:space="preserve">(Patrí sem aj čistenie pôdy, ktorého výsledkom je jej obnova, a recyklácia anorganických stavebných materiálov.)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R6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Regenerácia kyselín a zásad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R7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Spätné získavanie komponentov používaných pri odstraňovaní znečistenia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R8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Spätné získavanie komponentov z katalyzátorov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R9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Prečisťovanie oleja alebo jeho iné opätovné použitie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R10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Úprava pôdy na účel dosiahnutia prínosov pre poľnohospodárstvo alebo na zlepšenie životného prostredia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R11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Využitie odpadov vzniknutých pri činnostiach R1 až R10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R12 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Úprava odpadov určených na spracovanie niektorou z činností R1 až R11 </w:t>
            </w:r>
          </w:p>
        </w:tc>
      </w:tr>
      <w:tr w:rsidR="003117B0" w:rsidRPr="003117B0" w:rsidTr="00C5191B">
        <w:trPr>
          <w:trHeight w:val="75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C5191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 xml:space="preserve">(Ak neexistuje iný vhodný R-kód, môžu sem patriť predbežné činnosti pred zhodnocovaním, vrátane predbežnej úpravy, okrem iného napríklad rozoberanie, triedenie, drvenie, stláčanie, </w:t>
            </w:r>
            <w:proofErr w:type="spellStart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peletizácia</w:t>
            </w:r>
            <w:proofErr w:type="spellEnd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, sušenie, šrotovanie, kondicionovanie, opätovné balenie, triedenie, miešanie a zmiešavanie pred podrobením sa ktorejkoľvek z činností R1 až R11.)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R13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Skladovanie odpadov pred použitím niektorej z činností R1 až R12 (okrem dočasného uloženia pred zberom na mieste vzniku) </w:t>
            </w:r>
          </w:p>
        </w:tc>
      </w:tr>
      <w:tr w:rsidR="003117B0" w:rsidRPr="003117B0" w:rsidTr="00C5191B">
        <w:trPr>
          <w:trHeight w:val="30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Tabuľka 7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Kód </w:t>
            </w:r>
          </w:p>
        </w:tc>
        <w:tc>
          <w:tcPr>
            <w:tcW w:w="8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Zneškodňovanie odpadov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Uloženie do zeme alebo na povrchu zeme (napr. skládka odpadov)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D2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Úprava pôdnymi procesmi (napr.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biodegradácia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kvapalných alebo kalových odpadov v pôde atď.)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D3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Hĺbková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injektáž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(napr.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injektáž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čerpateľných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odpadov do vrtov, soľných baní alebo prirodzených úložísk atď.)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D4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Ukladanie do povrchových nádrží (napr. umiestnenie kvapalných alebo kalových odpadov do jám,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odkalísk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atď.) </w:t>
            </w:r>
          </w:p>
        </w:tc>
      </w:tr>
      <w:tr w:rsidR="003117B0" w:rsidRPr="003117B0" w:rsidTr="00C5191B">
        <w:trPr>
          <w:trHeight w:val="4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D5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Špeciálne vybudované skládky odpadov (napr. umiestnenie do samostatných buniek s povrchovou úpravou stien, ktoré sú zakryté a izolované jedna od druhej a od životného prostredia)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D6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Vypúšťanie a vhadzovanie do vodného recipienta okrem morí a oceánov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D7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Vypúšťanie a vhadzovanie do morí a oceánov vrátane uloženia na morské dno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D8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Biologická úprava nešpecifikovaná v tejto prílohe, pri ktorej vznikajú zlúčeniny alebo zmesi, ktoré sú zneškodnené niektorou z činností D1 až D12 </w:t>
            </w:r>
          </w:p>
        </w:tc>
      </w:tr>
      <w:tr w:rsidR="003117B0" w:rsidRPr="003117B0" w:rsidTr="00C5191B">
        <w:trPr>
          <w:trHeight w:val="4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D9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Fyzikálno-chemická úprava nešpecifikovaná v tejto prílohe, pri ktorej vznikajú zlúčeniny alebo zmesi, ktoré sú zneškodnené niektorou z činností D1 až D12 (napr. odparovanie, sušenie, </w:t>
            </w:r>
            <w:proofErr w:type="spellStart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kalcinácia</w:t>
            </w:r>
            <w:proofErr w:type="spellEnd"/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atď.)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D10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Spaľovanie na pevnine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D11 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Spaľovanie na mori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D12 </w:t>
            </w:r>
          </w:p>
        </w:tc>
        <w:tc>
          <w:tcPr>
            <w:tcW w:w="8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Trvalé uloženie (napr. umiestnenie kontajnerov v baniach atď.) 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D13 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Zmiešavame alebo miešanie pred použitím niektorej z činností D1 až D12 </w:t>
            </w:r>
          </w:p>
        </w:tc>
      </w:tr>
      <w:tr w:rsidR="003117B0" w:rsidRPr="003117B0" w:rsidTr="00C5191B">
        <w:trPr>
          <w:trHeight w:val="49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C5191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 xml:space="preserve">(Ak sa nehodí iný D-kód, môže to zahŕňať predbežné činnosti pred zneškodnením vrátane predbežnej úpravy, ako aj okrem iného napríklad triedenie, drvenie, stláčanie, </w:t>
            </w:r>
            <w:proofErr w:type="spellStart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peletizácia</w:t>
            </w:r>
            <w:proofErr w:type="spellEnd"/>
            <w:r w:rsidRPr="003117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eastAsia="sk-SK"/>
              </w:rPr>
              <w:t>, sušenie, šrotovanie, kondicionovanie alebo separovanie pred akoukoľvek činnosťou označenou D1 až D12.)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D14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>Uloženie do ďalších obalov pred použitím niektorej z činností D1 až D13</w:t>
            </w:r>
          </w:p>
        </w:tc>
      </w:tr>
      <w:tr w:rsidR="003117B0" w:rsidRPr="003117B0" w:rsidTr="00C5191B">
        <w:trPr>
          <w:trHeight w:val="2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D15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17B0" w:rsidRPr="003117B0" w:rsidRDefault="003117B0" w:rsidP="003117B0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117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Skladovanie pred použitím niektorej z činností D1 až D14 (okrem dočasného uloženia pred zberom na mieste vzniku) </w:t>
            </w:r>
          </w:p>
        </w:tc>
      </w:tr>
    </w:tbl>
    <w:p w:rsidR="003117B0" w:rsidRDefault="003117B0">
      <w:pPr>
        <w:rPr>
          <w:rFonts w:ascii="Arial" w:hAnsi="Arial" w:cs="Arial"/>
          <w:sz w:val="20"/>
          <w:szCs w:val="20"/>
        </w:rPr>
      </w:pPr>
    </w:p>
    <w:p w:rsidR="00F64B91" w:rsidRPr="00C5191B" w:rsidRDefault="00F64B91" w:rsidP="00F64B91">
      <w:pPr>
        <w:rPr>
          <w:rFonts w:ascii="Arial" w:hAnsi="Arial" w:cs="Arial"/>
          <w:b/>
          <w:sz w:val="20"/>
          <w:szCs w:val="20"/>
        </w:rPr>
      </w:pPr>
      <w:r w:rsidRPr="00F64B91">
        <w:rPr>
          <w:rFonts w:ascii="Arial" w:hAnsi="Arial" w:cs="Arial"/>
          <w:b/>
          <w:i/>
          <w:color w:val="0070C0"/>
          <w:sz w:val="20"/>
          <w:szCs w:val="20"/>
        </w:rPr>
        <w:t>modrý text</w:t>
      </w:r>
      <w:r w:rsidRPr="00F64B91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C5191B">
        <w:rPr>
          <w:rFonts w:ascii="Arial" w:hAnsi="Arial" w:cs="Arial"/>
          <w:b/>
          <w:sz w:val="20"/>
          <w:szCs w:val="20"/>
        </w:rPr>
        <w:t>– poznámky, odkazy</w:t>
      </w:r>
    </w:p>
    <w:p w:rsidR="00F64B91" w:rsidRDefault="00F64B91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p w:rsidR="004A07DB" w:rsidRDefault="004A07DB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1134"/>
        <w:gridCol w:w="1134"/>
        <w:gridCol w:w="1134"/>
      </w:tblGrid>
      <w:tr w:rsidR="004A07DB" w:rsidRPr="0051105F" w:rsidTr="00CA45CF">
        <w:trPr>
          <w:cantSplit/>
          <w:trHeight w:val="286"/>
        </w:trPr>
        <w:tc>
          <w:tcPr>
            <w:tcW w:w="9923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</w:tcPr>
          <w:p w:rsidR="00D85211" w:rsidRDefault="00D85211" w:rsidP="004A07DB">
            <w:pPr>
              <w:jc w:val="center"/>
              <w:rPr>
                <w:rFonts w:ascii="Impact" w:hAnsi="Impact" w:cs="Arial"/>
                <w:b/>
                <w:color w:val="0070C0"/>
                <w:sz w:val="28"/>
                <w:szCs w:val="28"/>
              </w:rPr>
            </w:pPr>
          </w:p>
          <w:p w:rsidR="004A07DB" w:rsidRPr="00D85211" w:rsidRDefault="004A07DB" w:rsidP="004A07DB">
            <w:pPr>
              <w:jc w:val="center"/>
              <w:rPr>
                <w:rFonts w:ascii="Impact" w:hAnsi="Impact" w:cs="Arial"/>
                <w:color w:val="0070C0"/>
                <w:sz w:val="28"/>
                <w:szCs w:val="28"/>
              </w:rPr>
            </w:pPr>
            <w:r w:rsidRPr="00D85211">
              <w:rPr>
                <w:rFonts w:ascii="Impact" w:hAnsi="Impact" w:cs="Arial"/>
                <w:color w:val="0070C0"/>
                <w:sz w:val="28"/>
                <w:szCs w:val="28"/>
              </w:rPr>
              <w:t>Zoznam vybraných druhov odpadov</w:t>
            </w:r>
          </w:p>
          <w:p w:rsidR="00D85211" w:rsidRPr="00D85211" w:rsidRDefault="00D85211" w:rsidP="004A07DB">
            <w:pPr>
              <w:jc w:val="center"/>
              <w:rPr>
                <w:rFonts w:ascii="Impact" w:hAnsi="Impact" w:cs="Arial"/>
                <w:sz w:val="28"/>
                <w:szCs w:val="28"/>
              </w:rPr>
            </w:pPr>
          </w:p>
        </w:tc>
      </w:tr>
      <w:tr w:rsidR="004A07DB" w:rsidRPr="0051105F" w:rsidTr="00CA45CF">
        <w:trPr>
          <w:trHeight w:val="265"/>
        </w:trPr>
        <w:tc>
          <w:tcPr>
            <w:tcW w:w="1276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sz w:val="20"/>
                <w:szCs w:val="20"/>
              </w:rPr>
              <w:t>Číslo</w:t>
            </w:r>
          </w:p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>skupiny,</w:t>
            </w:r>
          </w:p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>podskupiny,</w:t>
            </w:r>
          </w:p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 xml:space="preserve">a druhu </w:t>
            </w:r>
          </w:p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>odpadu</w:t>
            </w:r>
          </w:p>
        </w:tc>
        <w:tc>
          <w:tcPr>
            <w:tcW w:w="524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sz w:val="20"/>
                <w:szCs w:val="20"/>
              </w:rPr>
              <w:t>Názov skupiny, podskupiny</w:t>
            </w:r>
          </w:p>
          <w:p w:rsidR="004A07DB" w:rsidRPr="0051105F" w:rsidRDefault="004A07DB" w:rsidP="004A07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 xml:space="preserve"> a druhu odpadu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sz w:val="20"/>
                <w:szCs w:val="20"/>
              </w:rPr>
              <w:t xml:space="preserve">Kategória </w:t>
            </w:r>
          </w:p>
          <w:p w:rsidR="004A07DB" w:rsidRPr="0051105F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>odpadu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105F">
              <w:rPr>
                <w:rFonts w:ascii="Arial" w:hAnsi="Arial" w:cs="Arial"/>
                <w:bCs/>
                <w:sz w:val="20"/>
                <w:szCs w:val="20"/>
              </w:rPr>
              <w:t>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porúčaný / možný kód</w:t>
            </w: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A07DB" w:rsidRDefault="004A07DB" w:rsidP="004A0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zhodnocovania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:rsidR="004A07DB" w:rsidRPr="0051105F" w:rsidRDefault="004A07DB" w:rsidP="004A0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zneškodňovania</w:t>
            </w: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0B0E" w:rsidRPr="00CB0B0E" w:rsidRDefault="00CB0B0E" w:rsidP="004A07DB">
            <w:pPr>
              <w:pStyle w:val="Nadpis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Cs w:val="0"/>
                <w:sz w:val="20"/>
                <w:szCs w:val="20"/>
              </w:rPr>
              <w:t>NEBEZPEČNÉ ODPADY</w:t>
            </w: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B0B0E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15 01 10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obaly obsahujúce zvyšky nebezpečných látok alebo kontaminované nebezpečnými látkami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54604B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D1, D10</w:t>
            </w: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15 01 11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kovové obaly obsahujúce nebezpečný tuhý pórovitý základný materiál </w:t>
            </w:r>
            <w:r w:rsidRPr="004A07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(napríklad azbest) vrátane prázdnych tlakových nádob)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A07DB" w:rsidRPr="0051105F" w:rsidRDefault="0054604B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  <w:r w:rsidR="0054604B">
              <w:rPr>
                <w:rFonts w:ascii="Arial" w:hAnsi="Arial" w:cs="Arial"/>
                <w:sz w:val="20"/>
                <w:szCs w:val="20"/>
              </w:rPr>
              <w:t>, D10</w:t>
            </w: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15 02 02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05F">
              <w:rPr>
                <w:rFonts w:ascii="Arial" w:hAnsi="Arial" w:cs="Arial"/>
                <w:sz w:val="20"/>
                <w:szCs w:val="20"/>
              </w:rPr>
              <w:t>absorbenty</w:t>
            </w:r>
            <w:proofErr w:type="spellEnd"/>
            <w:r w:rsidRPr="0051105F">
              <w:rPr>
                <w:rFonts w:ascii="Arial" w:hAnsi="Arial" w:cs="Arial"/>
                <w:sz w:val="20"/>
                <w:szCs w:val="20"/>
              </w:rPr>
              <w:t>, filtračné materiály vrátane olejových filtrov inak nešpecifikovaných, handry na čistenie, ochranné odevy kontaminované nebezpečnými látkami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D10</w:t>
            </w: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CCCCCC"/>
          </w:tcPr>
          <w:p w:rsidR="00CB0B0E" w:rsidRPr="004A07DB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CB0B0E" w:rsidRPr="00CB0B0E" w:rsidRDefault="00CB0B0E" w:rsidP="004A07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B0E">
              <w:rPr>
                <w:rFonts w:ascii="Arial" w:hAnsi="Arial" w:cs="Arial"/>
                <w:b/>
                <w:sz w:val="20"/>
                <w:szCs w:val="20"/>
              </w:rPr>
              <w:t>NEBEZPEČNÉ KOMUNÁLNE ODPADY</w:t>
            </w: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4A07DB">
              <w:rPr>
                <w:rFonts w:ascii="Arial" w:hAnsi="Arial" w:cs="Arial"/>
                <w:sz w:val="20"/>
                <w:szCs w:val="20"/>
              </w:rPr>
              <w:t>20 01 05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obaly obsahujúce zvyšky nebezpečných látok alebo kontaminované nebezpečnými látkami vrátane prázdnych tlakových nádob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20 01 21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žiarivky a iný odpad obsahujúci ortuť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20 01 23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vyradené zariadenia obsahujúce </w:t>
            </w:r>
            <w:proofErr w:type="spellStart"/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chlórfluórované</w:t>
            </w:r>
            <w:proofErr w:type="spellEnd"/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uhľovodíky </w:t>
            </w:r>
            <w:r w:rsidRPr="00CB0B0E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(chladničky</w:t>
            </w:r>
            <w:r w:rsidR="00CB0B0E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 xml:space="preserve"> a pod.</w:t>
            </w:r>
            <w:r w:rsidRPr="00CB0B0E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)</w:t>
            </w:r>
            <w:r w:rsidRPr="0051105F">
              <w:rPr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20 01 26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oleje a tuky iné ako uvedené v 20 01 25</w:t>
            </w:r>
            <w:r w:rsidR="00CB0B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20 01 33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batérie </w:t>
            </w: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 a</w:t>
            </w: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kumulátory uvedené v 16 06 01, 16 06 02 alebo 16 06 03 a netriedené </w:t>
            </w: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batérie a akumulátory obsahujúce tieto batérie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20 01 35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vyradené elektrické a elektronické zariadenia iné ako uvedené v 20 01 21 a 20 01 23, obsahujúce nebezpečné časti  </w:t>
            </w:r>
            <w:r w:rsidRPr="0051105F">
              <w:rPr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 xml:space="preserve">*)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808080" w:themeFill="background1" w:themeFillShade="80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808080" w:themeFill="background1" w:themeFillShade="80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CB0B0E" w:rsidRPr="00CB0B0E" w:rsidRDefault="00CB0B0E" w:rsidP="004A07DB">
            <w:pPr>
              <w:pStyle w:val="Nadpis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Cs w:val="0"/>
                <w:sz w:val="20"/>
                <w:szCs w:val="20"/>
              </w:rPr>
              <w:t>OSTATNÉ ODPADY</w:t>
            </w: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CB0B0E" w:rsidRPr="0051105F" w:rsidRDefault="00CB0B0E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02 01 03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odpadové rastlinné pletivá</w:t>
            </w:r>
            <w:r w:rsidRPr="0051105F">
              <w:rPr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(z poľnohospodárstva, lesníctva a pod.)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02 01 07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odpady z lesného hospodárstva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03 01 01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odpadová kôra a korok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(odpady zo spracovania dreva</w:t>
            </w:r>
            <w:r w:rsidR="00CB0B0E"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  <w:r w:rsidRPr="00CB0B0E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03 01 05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piliny, hobliny, odrezky, odpadové rezivo, drevotrieskové/drevovláknité dosky, dyhy iné ako uvedené  v 03 01 04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 w:rsidR="00CB0B0E"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odpady zo spracovania dreva)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15 01 01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obaly z papiera a lepenky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15 01 02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 xml:space="preserve">obaly z plastov 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15 01 03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obaly z dreva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15 01 04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obaly z kovu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15 01 05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kompozitné obaly</w:t>
            </w:r>
            <w:r w:rsidR="00CB0B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B0E"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proofErr w:type="spellStart"/>
            <w:r w:rsidR="00CB0B0E"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tetrapak</w:t>
            </w:r>
            <w:proofErr w:type="spellEnd"/>
            <w:r w:rsidR="00CB0B0E"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a pod.)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7DB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4A07DB" w:rsidRPr="00CB0B0E" w:rsidRDefault="004A07DB" w:rsidP="004A07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15 01 07</w:t>
            </w:r>
          </w:p>
        </w:tc>
        <w:tc>
          <w:tcPr>
            <w:tcW w:w="5245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obaly zo skla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734584" w:rsidP="004A0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4A07DB" w:rsidRPr="0051105F" w:rsidRDefault="004A07DB" w:rsidP="004A0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16 01 03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potrebované pneumatiky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16 02 14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vyradené zariadenia iné ako uvedené v 16 02 09 až 16 02 13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bCs/>
                <w:sz w:val="20"/>
                <w:szCs w:val="20"/>
                <w:highlight w:val="magenta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17 01 01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betón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17 01 02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tehly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84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734584" w:rsidRPr="00CB0B0E" w:rsidRDefault="00734584" w:rsidP="007345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17 01 03</w:t>
            </w:r>
          </w:p>
        </w:tc>
        <w:tc>
          <w:tcPr>
            <w:tcW w:w="5245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škridly a obkladové materiál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1105F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1105F">
              <w:rPr>
                <w:rFonts w:ascii="Arial" w:hAnsi="Arial" w:cs="Arial"/>
                <w:sz w:val="20"/>
                <w:szCs w:val="20"/>
              </w:rPr>
              <w:t>keramika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Default="00734584" w:rsidP="00734584">
            <w:r w:rsidRPr="008437B2"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84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734584" w:rsidRPr="00CB0B0E" w:rsidRDefault="00734584" w:rsidP="007345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17 01 07</w:t>
            </w:r>
          </w:p>
        </w:tc>
        <w:tc>
          <w:tcPr>
            <w:tcW w:w="5245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zmesi betónu, tehál, škridiel, obkladového materiálu a keramiky iné ako uvedené v 17 01 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Default="00734584" w:rsidP="00734584">
            <w:r w:rsidRPr="008437B2"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734584" w:rsidRPr="0051105F" w:rsidRDefault="00734584" w:rsidP="00734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17 02 01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drevo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  <w:r w:rsidRPr="005110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17 02 02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sklo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17 02 03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plasty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17 03 02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bitúmenové zmesi iné ako uvedené v 17 03 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="006D7B4B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– asfalty z komunikácií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17 05 04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zemina a kamenivo iné ako uvedené v 17 05 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17 05 06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výkopové zemina iná ako uvedená v 17 05 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17 08 02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stavebné materiály na báze sadry iné ako uvedené v 17 08 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0B0E">
              <w:rPr>
                <w:rFonts w:ascii="Arial" w:hAnsi="Arial" w:cs="Arial"/>
                <w:bCs/>
                <w:sz w:val="20"/>
                <w:szCs w:val="20"/>
              </w:rPr>
              <w:t>17 09 04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zmiešané odpady zo stavieb a demolácií iné ako uvedené v 17 09 01, 17 09 02 a 17 09 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stavebné odpady</w:t>
            </w:r>
            <w:r w:rsidRPr="00CB0B0E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4B" w:rsidRPr="0051105F" w:rsidTr="00CA45CF">
        <w:trPr>
          <w:trHeight w:val="286"/>
        </w:trPr>
        <w:tc>
          <w:tcPr>
            <w:tcW w:w="1276" w:type="dxa"/>
            <w:shd w:val="clear" w:color="auto" w:fill="CCCCCC"/>
          </w:tcPr>
          <w:p w:rsidR="006D7B4B" w:rsidRPr="0051105F" w:rsidRDefault="006D7B4B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6D7B4B" w:rsidRPr="006D7B4B" w:rsidRDefault="006D7B4B" w:rsidP="00CB0B0E">
            <w:pPr>
              <w:pStyle w:val="Nadpis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7B4B">
              <w:rPr>
                <w:rFonts w:ascii="Arial" w:hAnsi="Arial" w:cs="Arial"/>
                <w:bCs w:val="0"/>
                <w:sz w:val="20"/>
                <w:szCs w:val="20"/>
              </w:rPr>
              <w:t>OSTATNÉ KOMUNÁLNE ODPADY</w:t>
            </w:r>
          </w:p>
        </w:tc>
        <w:tc>
          <w:tcPr>
            <w:tcW w:w="1134" w:type="dxa"/>
            <w:shd w:val="clear" w:color="auto" w:fill="CCCCCC"/>
          </w:tcPr>
          <w:p w:rsidR="006D7B4B" w:rsidRPr="0051105F" w:rsidRDefault="006D7B4B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6D7B4B" w:rsidRPr="0051105F" w:rsidRDefault="006D7B4B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</w:tcPr>
          <w:p w:rsidR="006D7B4B" w:rsidRPr="0051105F" w:rsidRDefault="006D7B4B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papier a lepenka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sklo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20 01 03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6D7B4B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viacvrstvové kombinované materiály na báze lepenky (</w:t>
            </w:r>
            <w:proofErr w:type="spellStart"/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kompozity</w:t>
            </w:r>
            <w:proofErr w:type="spellEnd"/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na báze lepenky)</w:t>
            </w:r>
            <w:r w:rsidR="006D7B4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D7B4B" w:rsidRPr="00CB0B0E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(</w:t>
            </w:r>
            <w:proofErr w:type="spellStart"/>
            <w:r w:rsidR="006D7B4B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tetrapak</w:t>
            </w:r>
            <w:proofErr w:type="spellEnd"/>
            <w:r w:rsidR="006D7B4B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 xml:space="preserve"> a pod.</w:t>
            </w:r>
            <w:r w:rsidR="006D7B4B" w:rsidRPr="00CB0B0E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20 01 04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obaly z kovu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20 01 08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biologicky rozložiteľný kuchynský a reštauračný odpad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20 01 10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šatstvo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B07EE8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R12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20 01 11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textílie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B07EE8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R12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20 01 25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jedlé oleje a tuky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20 01 38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drevo iné ako uvedené v 20 01 37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20 01 36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vyradené elektrické a elektronické zariadenia iné ako uvedené v 20 01 21, 20 01 23 a 20 01 35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B07EE8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20 01 39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plasty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B07EE8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kovy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meď, bronz, mosadz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hliník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20 01 40 03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olovo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20 01 40 04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zinok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20 01 40 05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železo a oceľ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20 01 40 06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cín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20 01 40 07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zmiešané kovy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20 02 01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CB0B0E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B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biologicky rozložiteľný odpad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20 02 02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zemina a kamenivo </w:t>
            </w:r>
            <w:r w:rsidRPr="0051105F">
              <w:rPr>
                <w:rFonts w:ascii="Arial" w:hAnsi="Arial" w:cs="Arial"/>
                <w:b w:val="0"/>
                <w:bCs w:val="0"/>
                <w:i/>
                <w:color w:val="0070C0"/>
                <w:sz w:val="20"/>
                <w:szCs w:val="20"/>
              </w:rPr>
              <w:t>(zo záhrad, parkov, cintorínov)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20 03 01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zmesový komunálny odpad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20 03 02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odpad z trhovísk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20 03 07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objemný odpad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</w:tr>
      <w:tr w:rsidR="00CB0B0E" w:rsidRPr="0051105F" w:rsidTr="00CA45CF">
        <w:trPr>
          <w:trHeight w:val="286"/>
        </w:trPr>
        <w:tc>
          <w:tcPr>
            <w:tcW w:w="1276" w:type="dxa"/>
            <w:shd w:val="clear" w:color="auto" w:fill="FFFFFF" w:themeFill="background1"/>
          </w:tcPr>
          <w:p w:rsidR="00CB0B0E" w:rsidRPr="00CB0B0E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CB0B0E">
              <w:rPr>
                <w:rFonts w:ascii="Arial" w:hAnsi="Arial" w:cs="Arial"/>
                <w:sz w:val="20"/>
                <w:szCs w:val="20"/>
              </w:rPr>
              <w:t>20 03 08</w:t>
            </w:r>
          </w:p>
        </w:tc>
        <w:tc>
          <w:tcPr>
            <w:tcW w:w="5245" w:type="dxa"/>
            <w:shd w:val="clear" w:color="auto" w:fill="FFFFFF" w:themeFill="background1"/>
          </w:tcPr>
          <w:p w:rsidR="00CB0B0E" w:rsidRPr="0051105F" w:rsidRDefault="00CB0B0E" w:rsidP="00CB0B0E">
            <w:pPr>
              <w:pStyle w:val="Nadpis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110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drobný stavebný odpad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  <w:r w:rsidRPr="0051105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734584" w:rsidP="00CB0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</w:t>
            </w:r>
          </w:p>
        </w:tc>
        <w:tc>
          <w:tcPr>
            <w:tcW w:w="1134" w:type="dxa"/>
            <w:shd w:val="clear" w:color="auto" w:fill="FFFFFF" w:themeFill="background1"/>
          </w:tcPr>
          <w:p w:rsidR="00CB0B0E" w:rsidRPr="0051105F" w:rsidRDefault="00CB0B0E" w:rsidP="00CB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07DB" w:rsidRDefault="004A07DB" w:rsidP="00D85211">
      <w:pPr>
        <w:rPr>
          <w:rFonts w:ascii="Arial" w:hAnsi="Arial" w:cs="Arial"/>
          <w:sz w:val="20"/>
          <w:szCs w:val="20"/>
        </w:rPr>
      </w:pPr>
    </w:p>
    <w:sectPr w:rsidR="004A07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FF" w:rsidRDefault="00FA59FF" w:rsidP="00C5191B">
      <w:r>
        <w:separator/>
      </w:r>
    </w:p>
  </w:endnote>
  <w:endnote w:type="continuationSeparator" w:id="0">
    <w:p w:rsidR="00FA59FF" w:rsidRDefault="00FA59FF" w:rsidP="00C5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481048"/>
      <w:docPartObj>
        <w:docPartGallery w:val="Page Numbers (Bottom of Page)"/>
        <w:docPartUnique/>
      </w:docPartObj>
    </w:sdtPr>
    <w:sdtEndPr/>
    <w:sdtContent>
      <w:p w:rsidR="004A07DB" w:rsidRDefault="004A07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5CF">
          <w:rPr>
            <w:noProof/>
          </w:rPr>
          <w:t>3</w:t>
        </w:r>
        <w:r>
          <w:fldChar w:fldCharType="end"/>
        </w:r>
      </w:p>
    </w:sdtContent>
  </w:sdt>
  <w:p w:rsidR="004A07DB" w:rsidRDefault="004A07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FF" w:rsidRDefault="00FA59FF" w:rsidP="00C5191B">
      <w:r>
        <w:separator/>
      </w:r>
    </w:p>
  </w:footnote>
  <w:footnote w:type="continuationSeparator" w:id="0">
    <w:p w:rsidR="00FA59FF" w:rsidRDefault="00FA59FF" w:rsidP="00C5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9F"/>
    <w:rsid w:val="001E0B65"/>
    <w:rsid w:val="003117B0"/>
    <w:rsid w:val="004A07DB"/>
    <w:rsid w:val="0054604B"/>
    <w:rsid w:val="006702A8"/>
    <w:rsid w:val="006D7B4B"/>
    <w:rsid w:val="00734584"/>
    <w:rsid w:val="00B07EE8"/>
    <w:rsid w:val="00B34D81"/>
    <w:rsid w:val="00BC38CD"/>
    <w:rsid w:val="00BF2F9F"/>
    <w:rsid w:val="00C5191B"/>
    <w:rsid w:val="00CA45CF"/>
    <w:rsid w:val="00CB0B0E"/>
    <w:rsid w:val="00D85211"/>
    <w:rsid w:val="00F64B91"/>
    <w:rsid w:val="00FA59FF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041FF-0005-425A-A41C-82E2200C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4A07DB"/>
    <w:pPr>
      <w:keepNext/>
      <w:outlineLvl w:val="1"/>
    </w:pPr>
    <w:rPr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A07DB"/>
    <w:pPr>
      <w:keepNext/>
      <w:jc w:val="center"/>
      <w:outlineLvl w:val="2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91B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519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91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4A07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4A07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5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2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</dc:creator>
  <cp:keywords/>
  <dc:description/>
  <cp:lastModifiedBy>Eulalia</cp:lastModifiedBy>
  <cp:revision>10</cp:revision>
  <cp:lastPrinted>2019-02-23T20:08:00Z</cp:lastPrinted>
  <dcterms:created xsi:type="dcterms:W3CDTF">2019-01-27T17:21:00Z</dcterms:created>
  <dcterms:modified xsi:type="dcterms:W3CDTF">2019-02-23T20:08:00Z</dcterms:modified>
</cp:coreProperties>
</file>